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F9" w:rsidRPr="00EA3E30" w:rsidRDefault="00EA3E30" w:rsidP="00EA3E30">
      <w:pPr>
        <w:jc w:val="center"/>
        <w:rPr>
          <w:rFonts w:ascii="微软雅黑" w:eastAsia="微软雅黑" w:hAnsi="微软雅黑" w:hint="eastAsia"/>
          <w:b/>
          <w:sz w:val="32"/>
          <w:szCs w:val="32"/>
        </w:rPr>
      </w:pPr>
      <w:bookmarkStart w:id="0" w:name="_GoBack"/>
      <w:r w:rsidRPr="00EA3E30">
        <w:rPr>
          <w:rFonts w:ascii="微软雅黑" w:eastAsia="微软雅黑" w:hAnsi="微软雅黑" w:hint="eastAsia"/>
          <w:b/>
          <w:sz w:val="32"/>
          <w:szCs w:val="32"/>
        </w:rPr>
        <w:t>关于2018年第四季度个人所得税减除费用和税率适用问题的通知</w:t>
      </w:r>
    </w:p>
    <w:bookmarkEnd w:id="0"/>
    <w:p w:rsidR="00EA3E30" w:rsidRPr="00EA3E30" w:rsidRDefault="00EA3E30" w:rsidP="00EA3E30">
      <w:pPr>
        <w:jc w:val="center"/>
        <w:rPr>
          <w:rFonts w:ascii="微软雅黑" w:eastAsia="微软雅黑" w:hAnsi="微软雅黑" w:hint="eastAsia"/>
          <w:sz w:val="28"/>
          <w:szCs w:val="28"/>
        </w:rPr>
      </w:pPr>
      <w:r w:rsidRPr="00EA3E30">
        <w:rPr>
          <w:rFonts w:ascii="微软雅黑" w:eastAsia="微软雅黑" w:hAnsi="微软雅黑" w:hint="eastAsia"/>
          <w:sz w:val="28"/>
          <w:szCs w:val="28"/>
        </w:rPr>
        <w:t>财税〔2018〕98号</w:t>
      </w:r>
    </w:p>
    <w:p w:rsidR="00EA3E30" w:rsidRPr="00EA3E30" w:rsidRDefault="00EA3E30" w:rsidP="00EA3E30">
      <w:pPr>
        <w:pStyle w:val="a3"/>
        <w:shd w:val="clear" w:color="auto" w:fill="FFFFFF"/>
        <w:spacing w:line="540" w:lineRule="atLeast"/>
        <w:rPr>
          <w:sz w:val="28"/>
          <w:szCs w:val="28"/>
        </w:rPr>
      </w:pPr>
      <w:r w:rsidRPr="00EA3E30">
        <w:rPr>
          <w:rFonts w:hint="eastAsia"/>
          <w:sz w:val="28"/>
          <w:szCs w:val="28"/>
        </w:rPr>
        <w:t>各省、自治区、直辖市、计划单列市财政厅（局），国家税务总局各省、自治区、直辖市、计划单列市税务局，新疆生产建设兵团财政局：</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根据第十三届全国人大常委会第五次会议审议通过的《全国人民代表大会常务委员会关于修改&lt;中华人民共和国个人所得税法&gt;的决定</w:t>
      </w:r>
      <w:proofErr w:type="gramStart"/>
      <w:r w:rsidRPr="00EA3E30">
        <w:rPr>
          <w:rFonts w:hint="eastAsia"/>
          <w:sz w:val="28"/>
          <w:szCs w:val="28"/>
        </w:rPr>
        <w:t>》</w:t>
      </w:r>
      <w:proofErr w:type="gramEnd"/>
      <w:r w:rsidRPr="00EA3E30">
        <w:rPr>
          <w:rFonts w:hint="eastAsia"/>
          <w:sz w:val="28"/>
          <w:szCs w:val="28"/>
        </w:rPr>
        <w:t>，现就2018年第四季度纳税人适用个人所得税减除费用和税率有关问题通知如下：</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一、关于工资、薪金所得适用减除费用和税率问题</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对纳税人在2018年10月1日（含）后实际取得的工资、薪金所得，减除费用统一按照5000元/月执行，并按照本通知所附个人所得税税率表</w:t>
      </w:r>
      <w:proofErr w:type="gramStart"/>
      <w:r w:rsidRPr="00EA3E30">
        <w:rPr>
          <w:rFonts w:hint="eastAsia"/>
          <w:sz w:val="28"/>
          <w:szCs w:val="28"/>
        </w:rPr>
        <w:t>一</w:t>
      </w:r>
      <w:proofErr w:type="gramEnd"/>
      <w:r w:rsidRPr="00EA3E30">
        <w:rPr>
          <w:rFonts w:hint="eastAsia"/>
          <w:sz w:val="28"/>
          <w:szCs w:val="28"/>
        </w:rPr>
        <w:t>计算应纳税额。对纳税人在2018年9月30日（含）</w:t>
      </w:r>
      <w:proofErr w:type="gramStart"/>
      <w:r w:rsidRPr="00EA3E30">
        <w:rPr>
          <w:rFonts w:hint="eastAsia"/>
          <w:sz w:val="28"/>
          <w:szCs w:val="28"/>
        </w:rPr>
        <w:t>前实际</w:t>
      </w:r>
      <w:proofErr w:type="gramEnd"/>
      <w:r w:rsidRPr="00EA3E30">
        <w:rPr>
          <w:rFonts w:hint="eastAsia"/>
          <w:sz w:val="28"/>
          <w:szCs w:val="28"/>
        </w:rPr>
        <w:t>取得的工资、薪金所得，减除费用按照税法修改前规定执行。</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二、关于个体工商户业主、个人独资企业和合伙企业自然人投资者、企事业单位承包承租经营者的生产经营所得计</w:t>
      </w:r>
      <w:proofErr w:type="gramStart"/>
      <w:r w:rsidRPr="00EA3E30">
        <w:rPr>
          <w:rFonts w:hint="eastAsia"/>
          <w:sz w:val="28"/>
          <w:szCs w:val="28"/>
        </w:rPr>
        <w:t>税方法</w:t>
      </w:r>
      <w:proofErr w:type="gramEnd"/>
      <w:r w:rsidRPr="00EA3E30">
        <w:rPr>
          <w:rFonts w:hint="eastAsia"/>
          <w:sz w:val="28"/>
          <w:szCs w:val="28"/>
        </w:rPr>
        <w:t>问题</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（一）对个体工商户业主、个人独资企业和合伙企业自然人投资者、企事业单位承包承租经营者2018年第四季度取得的生产经营所得，减除费用按照5000元/月执行，前三季度减除费用按照3500元/月执行。</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（二）对个体工商户业主、个人独资企业和合伙企业自然人投资者、企事业单位承包承租经营者2018年取得的生产经营所得，用全</w:t>
      </w:r>
      <w:r w:rsidRPr="00EA3E30">
        <w:rPr>
          <w:rFonts w:hint="eastAsia"/>
          <w:sz w:val="28"/>
          <w:szCs w:val="28"/>
        </w:rPr>
        <w:lastRenderedPageBreak/>
        <w:t>年应纳税所得额分别计算应纳前三季度税额和应纳第四季度税额，其中应纳前三季度税额按照税法修改前规定的税率和前三季度实际经营月份的权重计算，应纳第四季度税额按照本通知所附个人所得税税率表二（以下称税法修改后规定的税率）和第四季度实际经营月份的权重计算。具体计算方法：</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1.月（季）</w:t>
      </w:r>
      <w:proofErr w:type="gramStart"/>
      <w:r w:rsidRPr="00EA3E30">
        <w:rPr>
          <w:rFonts w:hint="eastAsia"/>
          <w:sz w:val="28"/>
          <w:szCs w:val="28"/>
        </w:rPr>
        <w:t>度预缴税</w:t>
      </w:r>
      <w:proofErr w:type="gramEnd"/>
      <w:r w:rsidRPr="00EA3E30">
        <w:rPr>
          <w:rFonts w:hint="eastAsia"/>
          <w:sz w:val="28"/>
          <w:szCs w:val="28"/>
        </w:rPr>
        <w:t>款的计算。</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本期应缴税额=累计应纳税额-累计已缴税额</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累计应纳税额=应纳10月1日以前税额+应纳10月1日以后税额</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应纳10月1日以前税额=（累计应纳税所得额×税法修改前规定的税率-税法修改前规定的速算扣除数）×10月1日以前实际经营月份数÷累计实际经营月份数</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应纳10月1日以后税额=（累计应纳税所得额×税法修改后规定的税率-税法修改后规定的速算扣除数）×10月1日以后实际经营月份数÷累计实际经营月份数</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2.年度汇算清缴税款的计算。</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汇缴应补退税额=全年应纳税额-累计已缴税额</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全年应纳税额=应纳前三季度税额+应纳第四季度税额</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应纳前三季度税额=（全年应纳税所得额×税法修改前规定的税率-税法修改前规定的速算扣除数）×前三季度实际经营月份数÷全年实际经营月份数</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lastRenderedPageBreak/>
        <w:t xml:space="preserve">　　应纳第四季度税额=（全年应纳税所得额×税法修改后规定的税率-税法修改后规定的速算扣除数）×第四季度实际经营月份数÷全年实际经营月份数</w:t>
      </w:r>
    </w:p>
    <w:p w:rsidR="00EA3E30" w:rsidRPr="00EA3E30" w:rsidRDefault="00EA3E30" w:rsidP="00EA3E30">
      <w:pPr>
        <w:pStyle w:val="a3"/>
        <w:shd w:val="clear" w:color="auto" w:fill="FFFFFF"/>
        <w:spacing w:line="540" w:lineRule="atLeast"/>
        <w:rPr>
          <w:rFonts w:hint="eastAsia"/>
          <w:sz w:val="28"/>
          <w:szCs w:val="28"/>
        </w:rPr>
      </w:pPr>
      <w:r w:rsidRPr="00EA3E30">
        <w:rPr>
          <w:rFonts w:hint="eastAsia"/>
          <w:sz w:val="28"/>
          <w:szCs w:val="28"/>
        </w:rPr>
        <w:t xml:space="preserve">　　三、《财政部 国家税务总局关于调整个体工商户业主 个人独资企业和合伙企业自然人投资者个人所得税费用扣除标准的通知》（财税〔2011〕62号）自2018年10月1日起废止。</w:t>
      </w:r>
    </w:p>
    <w:p w:rsidR="00EA3E30" w:rsidRDefault="00EA3E30">
      <w:pPr>
        <w:rPr>
          <w:rFonts w:hint="eastAsia"/>
          <w:sz w:val="28"/>
          <w:szCs w:val="28"/>
        </w:rPr>
      </w:pPr>
    </w:p>
    <w:p w:rsidR="00EA3E30" w:rsidRPr="00EA3E30" w:rsidRDefault="00EA3E30">
      <w:pPr>
        <w:rPr>
          <w:rFonts w:ascii="微软雅黑" w:eastAsia="微软雅黑" w:hAnsi="微软雅黑" w:hint="eastAsia"/>
          <w:sz w:val="28"/>
          <w:szCs w:val="28"/>
        </w:rPr>
      </w:pPr>
      <w:r w:rsidRPr="00EA3E30">
        <w:rPr>
          <w:rFonts w:hint="eastAsia"/>
          <w:sz w:val="28"/>
          <w:szCs w:val="28"/>
        </w:rPr>
        <w:t>附件：</w:t>
      </w:r>
      <w:r w:rsidRPr="00EA3E30">
        <w:rPr>
          <w:rFonts w:hint="eastAsia"/>
          <w:sz w:val="28"/>
          <w:szCs w:val="28"/>
        </w:rPr>
        <w:t>1.</w:t>
      </w:r>
      <w:r w:rsidRPr="00EA3E30">
        <w:rPr>
          <w:rFonts w:hint="eastAsia"/>
          <w:sz w:val="28"/>
          <w:szCs w:val="28"/>
          <w:bdr w:val="none" w:sz="0" w:space="0" w:color="auto" w:frame="1"/>
        </w:rPr>
        <w:t>个人所得税税率表</w:t>
      </w:r>
      <w:proofErr w:type="gramStart"/>
      <w:r w:rsidRPr="00EA3E30">
        <w:rPr>
          <w:rFonts w:hint="eastAsia"/>
          <w:sz w:val="28"/>
          <w:szCs w:val="28"/>
          <w:bdr w:val="none" w:sz="0" w:space="0" w:color="auto" w:frame="1"/>
        </w:rPr>
        <w:t>一</w:t>
      </w:r>
      <w:proofErr w:type="gramEnd"/>
      <w:r w:rsidRPr="00EA3E30">
        <w:rPr>
          <w:rFonts w:hint="eastAsia"/>
          <w:sz w:val="28"/>
          <w:szCs w:val="28"/>
          <w:bdr w:val="none" w:sz="0" w:space="0" w:color="auto" w:frame="1"/>
        </w:rPr>
        <w:t>（工资薪金所得适用）</w:t>
      </w:r>
      <w:r w:rsidRPr="00EA3E30">
        <w:rPr>
          <w:rFonts w:hint="eastAsia"/>
          <w:sz w:val="28"/>
          <w:szCs w:val="28"/>
        </w:rPr>
        <w:br/>
      </w:r>
      <w:r w:rsidRPr="00EA3E30">
        <w:rPr>
          <w:rFonts w:hint="eastAsia"/>
          <w:sz w:val="28"/>
          <w:szCs w:val="28"/>
        </w:rPr>
        <w:t xml:space="preserve">　　</w:t>
      </w:r>
      <w:proofErr w:type="gramStart"/>
      <w:r w:rsidRPr="00EA3E30">
        <w:rPr>
          <w:rFonts w:hint="eastAsia"/>
          <w:sz w:val="28"/>
          <w:szCs w:val="28"/>
        </w:rPr>
        <w:t xml:space="preserve">　</w:t>
      </w:r>
      <w:proofErr w:type="gramEnd"/>
      <w:r w:rsidRPr="00EA3E30">
        <w:rPr>
          <w:rFonts w:hint="eastAsia"/>
          <w:sz w:val="28"/>
          <w:szCs w:val="28"/>
        </w:rPr>
        <w:t>2.</w:t>
      </w:r>
      <w:r w:rsidRPr="00EA3E30">
        <w:rPr>
          <w:rFonts w:hint="eastAsia"/>
          <w:sz w:val="28"/>
          <w:szCs w:val="28"/>
          <w:bdr w:val="none" w:sz="0" w:space="0" w:color="auto" w:frame="1"/>
        </w:rPr>
        <w:t>个人所得税税率表二（个体工商户的生产、经营所得和对企事业单位的承包经营、承租经营所得适用）</w:t>
      </w:r>
    </w:p>
    <w:p w:rsidR="00EA3E30" w:rsidRPr="00EA3E30" w:rsidRDefault="00EA3E30">
      <w:pPr>
        <w:rPr>
          <w:rFonts w:ascii="微软雅黑" w:eastAsia="微软雅黑" w:hAnsi="微软雅黑" w:hint="eastAsia"/>
          <w:sz w:val="28"/>
          <w:szCs w:val="28"/>
        </w:rPr>
      </w:pPr>
    </w:p>
    <w:p w:rsidR="00EA3E30" w:rsidRPr="00EA3E30" w:rsidRDefault="00EA3E30">
      <w:pPr>
        <w:rPr>
          <w:rFonts w:hint="eastAsia"/>
          <w:color w:val="333333"/>
          <w:sz w:val="28"/>
          <w:szCs w:val="28"/>
        </w:rPr>
      </w:pPr>
      <w:r w:rsidRPr="00EA3E30">
        <w:rPr>
          <w:rFonts w:hint="eastAsia"/>
          <w:color w:val="333333"/>
          <w:sz w:val="28"/>
          <w:szCs w:val="28"/>
        </w:rPr>
        <w:t>财政部　税务总局</w:t>
      </w:r>
    </w:p>
    <w:p w:rsidR="00EA3E30" w:rsidRPr="00EA3E30" w:rsidRDefault="00EA3E30">
      <w:pPr>
        <w:rPr>
          <w:rFonts w:ascii="微软雅黑" w:eastAsia="微软雅黑" w:hAnsi="微软雅黑" w:hint="eastAsia"/>
          <w:sz w:val="28"/>
          <w:szCs w:val="28"/>
        </w:rPr>
      </w:pPr>
      <w:r w:rsidRPr="00EA3E30">
        <w:rPr>
          <w:rFonts w:hint="eastAsia"/>
          <w:color w:val="333333"/>
          <w:sz w:val="28"/>
          <w:szCs w:val="28"/>
        </w:rPr>
        <w:t>2018</w:t>
      </w:r>
      <w:r w:rsidRPr="00EA3E30">
        <w:rPr>
          <w:rFonts w:hint="eastAsia"/>
          <w:color w:val="333333"/>
          <w:sz w:val="28"/>
          <w:szCs w:val="28"/>
        </w:rPr>
        <w:t>年</w:t>
      </w:r>
      <w:r w:rsidRPr="00EA3E30">
        <w:rPr>
          <w:rFonts w:hint="eastAsia"/>
          <w:color w:val="333333"/>
          <w:sz w:val="28"/>
          <w:szCs w:val="28"/>
        </w:rPr>
        <w:t>9</w:t>
      </w:r>
      <w:r w:rsidRPr="00EA3E30">
        <w:rPr>
          <w:rFonts w:hint="eastAsia"/>
          <w:color w:val="333333"/>
          <w:sz w:val="28"/>
          <w:szCs w:val="28"/>
        </w:rPr>
        <w:t>月</w:t>
      </w:r>
      <w:r w:rsidRPr="00EA3E30">
        <w:rPr>
          <w:rFonts w:hint="eastAsia"/>
          <w:color w:val="333333"/>
          <w:sz w:val="28"/>
          <w:szCs w:val="28"/>
        </w:rPr>
        <w:t>7</w:t>
      </w:r>
      <w:r w:rsidRPr="00EA3E30">
        <w:rPr>
          <w:rFonts w:hint="eastAsia"/>
          <w:color w:val="333333"/>
          <w:sz w:val="28"/>
          <w:szCs w:val="28"/>
        </w:rPr>
        <w:t>日</w:t>
      </w: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sz w:val="28"/>
          <w:szCs w:val="28"/>
        </w:rPr>
      </w:pPr>
    </w:p>
    <w:p w:rsidR="00EA3E30" w:rsidRDefault="00EA3E30" w:rsidP="00EA3E30">
      <w:pPr>
        <w:tabs>
          <w:tab w:val="left" w:pos="3060"/>
        </w:tabs>
        <w:spacing w:line="360" w:lineRule="auto"/>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附件1       </w:t>
      </w:r>
    </w:p>
    <w:p w:rsidR="00EA3E30" w:rsidRDefault="00EA3E30" w:rsidP="00EA3E30">
      <w:pPr>
        <w:tabs>
          <w:tab w:val="left" w:pos="3060"/>
        </w:tabs>
        <w:spacing w:line="360" w:lineRule="auto"/>
        <w:rPr>
          <w:rFonts w:ascii="仿宋_GB2312" w:eastAsia="仿宋_GB2312" w:hAnsi="Times New Roman" w:cs="Times New Roman" w:hint="eastAsia"/>
          <w:sz w:val="32"/>
          <w:szCs w:val="32"/>
        </w:rPr>
      </w:pPr>
    </w:p>
    <w:p w:rsidR="00EA3E30" w:rsidRDefault="00EA3E30" w:rsidP="00EA3E30">
      <w:pPr>
        <w:tabs>
          <w:tab w:val="left" w:pos="3060"/>
        </w:tabs>
        <w:spacing w:line="360" w:lineRule="auto"/>
        <w:rPr>
          <w:rFonts w:ascii="仿宋_GB2312" w:eastAsia="仿宋_GB2312" w:hint="eastAsia"/>
          <w:sz w:val="32"/>
          <w:szCs w:val="32"/>
        </w:rPr>
      </w:pPr>
    </w:p>
    <w:p w:rsidR="00EA3E30" w:rsidRDefault="00EA3E30" w:rsidP="00EA3E30">
      <w:pPr>
        <w:tabs>
          <w:tab w:val="left" w:pos="3060"/>
        </w:tabs>
        <w:spacing w:line="360" w:lineRule="auto"/>
        <w:jc w:val="center"/>
        <w:rPr>
          <w:rFonts w:ascii="黑体" w:eastAsia="黑体" w:hAnsi="黑体" w:hint="eastAsia"/>
          <w:sz w:val="36"/>
          <w:szCs w:val="36"/>
        </w:rPr>
      </w:pPr>
      <w:r>
        <w:rPr>
          <w:rFonts w:ascii="黑体" w:eastAsia="黑体" w:hAnsi="黑体" w:hint="eastAsia"/>
          <w:sz w:val="36"/>
          <w:szCs w:val="36"/>
        </w:rPr>
        <w:t>个人所得税税率表</w:t>
      </w:r>
      <w:proofErr w:type="gramStart"/>
      <w:r>
        <w:rPr>
          <w:rFonts w:ascii="黑体" w:eastAsia="黑体" w:hAnsi="黑体" w:hint="eastAsia"/>
          <w:sz w:val="36"/>
          <w:szCs w:val="36"/>
        </w:rPr>
        <w:t>一</w:t>
      </w:r>
      <w:proofErr w:type="gramEnd"/>
      <w:r>
        <w:rPr>
          <w:rFonts w:ascii="黑体" w:eastAsia="黑体" w:hAnsi="黑体" w:hint="eastAsia"/>
          <w:sz w:val="36"/>
          <w:szCs w:val="36"/>
        </w:rPr>
        <w:t>（工资薪金所得适用）</w:t>
      </w:r>
    </w:p>
    <w:p w:rsidR="00EA3E30" w:rsidRDefault="00EA3E30" w:rsidP="00EA3E30">
      <w:pPr>
        <w:tabs>
          <w:tab w:val="left" w:pos="3060"/>
        </w:tabs>
        <w:spacing w:line="360" w:lineRule="auto"/>
        <w:rPr>
          <w:rFonts w:ascii="仿宋_GB2312" w:eastAsia="仿宋_GB2312" w:hAnsi="Times New Roman" w:hint="eastAsia"/>
          <w:sz w:val="32"/>
          <w:szCs w:val="32"/>
        </w:rPr>
      </w:pPr>
    </w:p>
    <w:tbl>
      <w:tblPr>
        <w:tblW w:w="8250" w:type="dxa"/>
        <w:jc w:val="center"/>
        <w:tblInd w:w="-170" w:type="dxa"/>
        <w:tblLook w:val="04A0" w:firstRow="1" w:lastRow="0" w:firstColumn="1" w:lastColumn="0" w:noHBand="0" w:noVBand="1"/>
      </w:tblPr>
      <w:tblGrid>
        <w:gridCol w:w="845"/>
        <w:gridCol w:w="4332"/>
        <w:gridCol w:w="1134"/>
        <w:gridCol w:w="1939"/>
      </w:tblGrid>
      <w:tr w:rsidR="00EA3E30" w:rsidRPr="00EA3E30" w:rsidTr="00EA3E30">
        <w:trPr>
          <w:trHeight w:val="510"/>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级数</w:t>
            </w:r>
          </w:p>
        </w:tc>
        <w:tc>
          <w:tcPr>
            <w:tcW w:w="4332" w:type="dxa"/>
            <w:tcBorders>
              <w:top w:val="single" w:sz="4" w:space="0" w:color="auto"/>
              <w:left w:val="nil"/>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全月应纳税所得额</w:t>
            </w:r>
          </w:p>
        </w:tc>
        <w:tc>
          <w:tcPr>
            <w:tcW w:w="1134" w:type="dxa"/>
            <w:tcBorders>
              <w:top w:val="single" w:sz="4" w:space="0" w:color="auto"/>
              <w:left w:val="nil"/>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税率</w:t>
            </w:r>
          </w:p>
        </w:tc>
        <w:tc>
          <w:tcPr>
            <w:tcW w:w="1939" w:type="dxa"/>
            <w:tcBorders>
              <w:top w:val="single" w:sz="4" w:space="0" w:color="auto"/>
              <w:left w:val="nil"/>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速算扣除数</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不超过3000元的</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超过3000元至12000元的部分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10%</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210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超过12000元至25000元的部分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20%</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1410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4</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超过25000元至35000元的部分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25%</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2660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5</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超过35000元至55000元的部分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30%</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4410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6</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超过55000元至80000元的部分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35%</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7160</w:t>
            </w:r>
          </w:p>
        </w:tc>
      </w:tr>
      <w:tr w:rsidR="00EA3E30" w:rsidRPr="00EA3E30" w:rsidTr="00EA3E30">
        <w:trPr>
          <w:trHeight w:val="510"/>
          <w:jc w:val="center"/>
        </w:trPr>
        <w:tc>
          <w:tcPr>
            <w:tcW w:w="845"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7</w:t>
            </w:r>
          </w:p>
        </w:tc>
        <w:tc>
          <w:tcPr>
            <w:tcW w:w="4332"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超过80000元的部分</w:t>
            </w:r>
          </w:p>
        </w:tc>
        <w:tc>
          <w:tcPr>
            <w:tcW w:w="113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45%</w:t>
            </w:r>
          </w:p>
        </w:tc>
        <w:tc>
          <w:tcPr>
            <w:tcW w:w="1939" w:type="dxa"/>
            <w:tcBorders>
              <w:top w:val="nil"/>
              <w:left w:val="nil"/>
              <w:bottom w:val="single" w:sz="4" w:space="0" w:color="auto"/>
              <w:right w:val="single" w:sz="4" w:space="0" w:color="auto"/>
            </w:tcBorders>
            <w:vAlign w:val="center"/>
            <w:hideMark/>
          </w:tcPr>
          <w:p w:rsidR="00EA3E30" w:rsidRPr="00EA3E30" w:rsidRDefault="00EA3E30" w:rsidP="00EA3E30">
            <w:pPr>
              <w:widowControl/>
              <w:spacing w:line="360" w:lineRule="auto"/>
              <w:ind w:firstLineChars="200" w:firstLine="560"/>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15160</w:t>
            </w:r>
          </w:p>
        </w:tc>
      </w:tr>
    </w:tbl>
    <w:p w:rsidR="00EA3E30" w:rsidRDefault="00EA3E30" w:rsidP="00EA3E30">
      <w:pPr>
        <w:spacing w:line="360" w:lineRule="auto"/>
        <w:rPr>
          <w:rFonts w:ascii="仿宋_GB2312" w:eastAsia="仿宋_GB2312" w:hAnsi="Times New Roman" w:cs="Times New Roman" w:hint="eastAsia"/>
          <w:sz w:val="32"/>
          <w:szCs w:val="32"/>
        </w:rPr>
      </w:pPr>
    </w:p>
    <w:p w:rsidR="00EA3E30" w:rsidRDefault="00EA3E30" w:rsidP="00EA3E30">
      <w:pPr>
        <w:spacing w:line="360" w:lineRule="auto"/>
        <w:rPr>
          <w:rFonts w:ascii="仿宋_GB2312" w:eastAsia="仿宋_GB2312" w:hint="eastAsia"/>
          <w:sz w:val="32"/>
          <w:szCs w:val="32"/>
        </w:rPr>
      </w:pPr>
      <w:r>
        <w:rPr>
          <w:rFonts w:ascii="仿宋_GB2312" w:eastAsia="仿宋_GB2312" w:hint="eastAsia"/>
          <w:sz w:val="32"/>
          <w:szCs w:val="32"/>
        </w:rPr>
        <w:t xml:space="preserve"> </w:t>
      </w:r>
    </w:p>
    <w:p w:rsidR="00EA3E30" w:rsidRPr="00EA3E30" w:rsidRDefault="00EA3E30">
      <w:pPr>
        <w:rPr>
          <w:rFonts w:ascii="微软雅黑" w:eastAsia="微软雅黑" w:hAnsi="微软雅黑" w:hint="eastAsia"/>
          <w:sz w:val="28"/>
          <w:szCs w:val="28"/>
        </w:rPr>
      </w:pPr>
    </w:p>
    <w:p w:rsidR="00EA3E30" w:rsidRDefault="00EA3E30">
      <w:pPr>
        <w:rPr>
          <w:rFonts w:ascii="微软雅黑" w:eastAsia="微软雅黑" w:hAnsi="微软雅黑" w:hint="eastAsia"/>
          <w:color w:val="333333"/>
          <w:szCs w:val="21"/>
        </w:rPr>
      </w:pPr>
    </w:p>
    <w:p w:rsidR="00EA3E30" w:rsidRDefault="00EA3E30">
      <w:pPr>
        <w:rPr>
          <w:rFonts w:ascii="微软雅黑" w:eastAsia="微软雅黑" w:hAnsi="微软雅黑" w:hint="eastAsia"/>
          <w:color w:val="CC0000"/>
          <w:sz w:val="42"/>
          <w:szCs w:val="42"/>
        </w:rPr>
      </w:pPr>
    </w:p>
    <w:p w:rsidR="00EA3E30" w:rsidRDefault="00EA3E30">
      <w:pPr>
        <w:rPr>
          <w:rFonts w:hint="eastAsia"/>
        </w:rPr>
      </w:pPr>
    </w:p>
    <w:p w:rsidR="00EA3E30" w:rsidRDefault="00EA3E30">
      <w:pPr>
        <w:rPr>
          <w:rFonts w:hint="eastAsia"/>
        </w:rPr>
      </w:pPr>
    </w:p>
    <w:p w:rsidR="00EA3E30" w:rsidRDefault="00EA3E30">
      <w:pPr>
        <w:rPr>
          <w:rFonts w:hint="eastAsia"/>
        </w:rPr>
      </w:pPr>
    </w:p>
    <w:p w:rsidR="00EA3E30" w:rsidRDefault="00EA3E30">
      <w:pPr>
        <w:rPr>
          <w:rFonts w:hint="eastAsia"/>
        </w:rPr>
      </w:pPr>
    </w:p>
    <w:p w:rsidR="00EA3E30" w:rsidRDefault="00EA3E30">
      <w:pPr>
        <w:rPr>
          <w:rFonts w:hint="eastAsia"/>
        </w:rPr>
      </w:pPr>
    </w:p>
    <w:p w:rsidR="00EA3E30" w:rsidRDefault="00EA3E30">
      <w:pPr>
        <w:rPr>
          <w:rFonts w:hint="eastAsia"/>
        </w:rPr>
      </w:pPr>
    </w:p>
    <w:p w:rsidR="00EA3E30" w:rsidRDefault="00EA3E30">
      <w:pPr>
        <w:rPr>
          <w:rFonts w:hint="eastAsia"/>
        </w:rPr>
      </w:pPr>
    </w:p>
    <w:p w:rsidR="00EA3E30" w:rsidRDefault="00EA3E30" w:rsidP="00EA3E30">
      <w:pPr>
        <w:spacing w:line="360" w:lineRule="auto"/>
        <w:rPr>
          <w:rFonts w:ascii="仿宋_GB2312" w:eastAsia="仿宋_GB2312"/>
          <w:sz w:val="32"/>
          <w:szCs w:val="32"/>
        </w:rPr>
      </w:pPr>
      <w:r>
        <w:rPr>
          <w:rFonts w:ascii="仿宋_GB2312" w:eastAsia="仿宋_GB2312" w:hint="eastAsia"/>
          <w:sz w:val="32"/>
          <w:szCs w:val="32"/>
        </w:rPr>
        <w:lastRenderedPageBreak/>
        <w:t xml:space="preserve">附件2    </w:t>
      </w:r>
    </w:p>
    <w:p w:rsidR="00EA3E30" w:rsidRDefault="00EA3E30" w:rsidP="00EA3E30">
      <w:pPr>
        <w:spacing w:line="360" w:lineRule="auto"/>
        <w:rPr>
          <w:rFonts w:ascii="仿宋_GB2312" w:eastAsia="仿宋_GB2312" w:hint="eastAsia"/>
          <w:sz w:val="32"/>
          <w:szCs w:val="32"/>
        </w:rPr>
      </w:pPr>
    </w:p>
    <w:p w:rsidR="00EA3E30" w:rsidRDefault="00EA3E30" w:rsidP="00EA3E30">
      <w:pPr>
        <w:spacing w:line="360" w:lineRule="auto"/>
        <w:rPr>
          <w:rFonts w:ascii="仿宋_GB2312" w:eastAsia="仿宋_GB2312" w:hint="eastAsia"/>
          <w:sz w:val="32"/>
          <w:szCs w:val="32"/>
        </w:rPr>
      </w:pPr>
    </w:p>
    <w:p w:rsidR="00EA3E30" w:rsidRDefault="00EA3E30" w:rsidP="00EA3E30">
      <w:pPr>
        <w:spacing w:line="360" w:lineRule="auto"/>
        <w:jc w:val="center"/>
        <w:rPr>
          <w:rFonts w:ascii="黑体" w:eastAsia="黑体" w:hAnsi="黑体" w:hint="eastAsia"/>
          <w:sz w:val="32"/>
          <w:szCs w:val="32"/>
        </w:rPr>
      </w:pPr>
      <w:r>
        <w:rPr>
          <w:rFonts w:ascii="黑体" w:eastAsia="黑体" w:hAnsi="黑体" w:hint="eastAsia"/>
          <w:sz w:val="32"/>
          <w:szCs w:val="32"/>
        </w:rPr>
        <w:t>个人所得税税率表二（个体工商户的生产、经营所得和对企事业单位的承包经营、承租经营所得适用）</w:t>
      </w:r>
    </w:p>
    <w:p w:rsidR="00EA3E30" w:rsidRDefault="00EA3E30" w:rsidP="00EA3E30">
      <w:pPr>
        <w:spacing w:line="360" w:lineRule="auto"/>
        <w:rPr>
          <w:rFonts w:ascii="仿宋_GB2312" w:eastAsia="仿宋_GB2312" w:hAnsi="Times New Roman" w:hint="eastAsia"/>
          <w:sz w:val="32"/>
          <w:szCs w:val="32"/>
        </w:rPr>
      </w:pPr>
    </w:p>
    <w:tbl>
      <w:tblPr>
        <w:tblW w:w="8329" w:type="dxa"/>
        <w:jc w:val="center"/>
        <w:tblInd w:w="312" w:type="dxa"/>
        <w:tblLook w:val="04A0" w:firstRow="1" w:lastRow="0" w:firstColumn="1" w:lastColumn="0" w:noHBand="0" w:noVBand="1"/>
      </w:tblPr>
      <w:tblGrid>
        <w:gridCol w:w="823"/>
        <w:gridCol w:w="4394"/>
        <w:gridCol w:w="1035"/>
        <w:gridCol w:w="2077"/>
      </w:tblGrid>
      <w:tr w:rsidR="00EA3E30" w:rsidRPr="00EA3E30" w:rsidTr="00EA3E30">
        <w:trPr>
          <w:trHeight w:val="480"/>
          <w:jc w:val="center"/>
        </w:trPr>
        <w:tc>
          <w:tcPr>
            <w:tcW w:w="823" w:type="dxa"/>
            <w:tcBorders>
              <w:top w:val="single" w:sz="4" w:space="0" w:color="auto"/>
              <w:left w:val="single" w:sz="4" w:space="0" w:color="auto"/>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级数</w:t>
            </w:r>
          </w:p>
        </w:tc>
        <w:tc>
          <w:tcPr>
            <w:tcW w:w="4394" w:type="dxa"/>
            <w:tcBorders>
              <w:top w:val="single" w:sz="4" w:space="0" w:color="auto"/>
              <w:left w:val="nil"/>
              <w:bottom w:val="single" w:sz="4" w:space="0" w:color="auto"/>
              <w:right w:val="single" w:sz="4" w:space="0" w:color="auto"/>
            </w:tcBorders>
            <w:noWrap/>
            <w:vAlign w:val="center"/>
            <w:hideMark/>
          </w:tcPr>
          <w:p w:rsidR="00EA3E30" w:rsidRPr="00EA3E30" w:rsidRDefault="00EA3E30" w:rsidP="00EA3E30">
            <w:pPr>
              <w:widowControl/>
              <w:spacing w:line="360" w:lineRule="auto"/>
              <w:ind w:firstLineChars="200" w:firstLine="562"/>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全年应纳税所得额</w:t>
            </w:r>
          </w:p>
        </w:tc>
        <w:tc>
          <w:tcPr>
            <w:tcW w:w="1035" w:type="dxa"/>
            <w:tcBorders>
              <w:top w:val="single" w:sz="4" w:space="0" w:color="auto"/>
              <w:left w:val="nil"/>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税率</w:t>
            </w:r>
          </w:p>
        </w:tc>
        <w:tc>
          <w:tcPr>
            <w:tcW w:w="2077" w:type="dxa"/>
            <w:tcBorders>
              <w:top w:val="single" w:sz="4" w:space="0" w:color="auto"/>
              <w:left w:val="nil"/>
              <w:bottom w:val="single" w:sz="4" w:space="0" w:color="auto"/>
              <w:right w:val="single" w:sz="4" w:space="0" w:color="auto"/>
            </w:tcBorders>
            <w:noWrap/>
            <w:vAlign w:val="center"/>
            <w:hideMark/>
          </w:tcPr>
          <w:p w:rsidR="00EA3E30" w:rsidRPr="00EA3E30" w:rsidRDefault="00EA3E30">
            <w:pPr>
              <w:widowControl/>
              <w:spacing w:line="360" w:lineRule="auto"/>
              <w:jc w:val="center"/>
              <w:rPr>
                <w:rFonts w:ascii="仿宋_GB2312" w:eastAsia="仿宋_GB2312" w:hAnsi="宋体" w:cs="宋体"/>
                <w:b/>
                <w:bCs/>
                <w:kern w:val="0"/>
                <w:sz w:val="28"/>
                <w:szCs w:val="28"/>
              </w:rPr>
            </w:pPr>
            <w:r w:rsidRPr="00EA3E30">
              <w:rPr>
                <w:rFonts w:ascii="仿宋_GB2312" w:eastAsia="仿宋_GB2312" w:hAnsi="宋体" w:cs="宋体" w:hint="eastAsia"/>
                <w:b/>
                <w:bCs/>
                <w:kern w:val="0"/>
                <w:sz w:val="28"/>
                <w:szCs w:val="28"/>
              </w:rPr>
              <w:t>速算扣除数</w:t>
            </w:r>
          </w:p>
        </w:tc>
      </w:tr>
      <w:tr w:rsidR="00EA3E30" w:rsidRPr="00EA3E30" w:rsidTr="00EA3E30">
        <w:trPr>
          <w:trHeight w:val="480"/>
          <w:jc w:val="center"/>
        </w:trPr>
        <w:tc>
          <w:tcPr>
            <w:tcW w:w="823"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w:t>
            </w:r>
          </w:p>
        </w:tc>
        <w:tc>
          <w:tcPr>
            <w:tcW w:w="439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不超过30000元的</w:t>
            </w:r>
          </w:p>
        </w:tc>
        <w:tc>
          <w:tcPr>
            <w:tcW w:w="1035"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5%</w:t>
            </w:r>
          </w:p>
        </w:tc>
        <w:tc>
          <w:tcPr>
            <w:tcW w:w="2077"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0</w:t>
            </w:r>
          </w:p>
        </w:tc>
      </w:tr>
      <w:tr w:rsidR="00EA3E30" w:rsidRPr="00EA3E30" w:rsidTr="00EA3E30">
        <w:trPr>
          <w:trHeight w:val="480"/>
          <w:jc w:val="center"/>
        </w:trPr>
        <w:tc>
          <w:tcPr>
            <w:tcW w:w="823"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w:t>
            </w:r>
          </w:p>
        </w:tc>
        <w:tc>
          <w:tcPr>
            <w:tcW w:w="439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超过30000元至90000元的部分</w:t>
            </w:r>
          </w:p>
        </w:tc>
        <w:tc>
          <w:tcPr>
            <w:tcW w:w="1035"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10%</w:t>
            </w:r>
          </w:p>
        </w:tc>
        <w:tc>
          <w:tcPr>
            <w:tcW w:w="2077" w:type="dxa"/>
            <w:tcBorders>
              <w:top w:val="nil"/>
              <w:left w:val="nil"/>
              <w:bottom w:val="single" w:sz="4" w:space="0" w:color="auto"/>
              <w:right w:val="single" w:sz="4" w:space="0" w:color="auto"/>
            </w:tcBorders>
            <w:noWrap/>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1500</w:t>
            </w:r>
          </w:p>
        </w:tc>
      </w:tr>
      <w:tr w:rsidR="00EA3E30" w:rsidRPr="00EA3E30" w:rsidTr="00EA3E30">
        <w:trPr>
          <w:trHeight w:val="480"/>
          <w:jc w:val="center"/>
        </w:trPr>
        <w:tc>
          <w:tcPr>
            <w:tcW w:w="823"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w:t>
            </w:r>
          </w:p>
        </w:tc>
        <w:tc>
          <w:tcPr>
            <w:tcW w:w="439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超过90000元至300000元的部分</w:t>
            </w:r>
          </w:p>
        </w:tc>
        <w:tc>
          <w:tcPr>
            <w:tcW w:w="1035"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20%</w:t>
            </w:r>
          </w:p>
        </w:tc>
        <w:tc>
          <w:tcPr>
            <w:tcW w:w="2077" w:type="dxa"/>
            <w:tcBorders>
              <w:top w:val="nil"/>
              <w:left w:val="nil"/>
              <w:bottom w:val="single" w:sz="4" w:space="0" w:color="auto"/>
              <w:right w:val="single" w:sz="4" w:space="0" w:color="auto"/>
            </w:tcBorders>
            <w:noWrap/>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10500</w:t>
            </w:r>
          </w:p>
        </w:tc>
      </w:tr>
      <w:tr w:rsidR="00EA3E30" w:rsidRPr="00EA3E30" w:rsidTr="00EA3E30">
        <w:trPr>
          <w:trHeight w:val="480"/>
          <w:jc w:val="center"/>
        </w:trPr>
        <w:tc>
          <w:tcPr>
            <w:tcW w:w="823"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4</w:t>
            </w:r>
          </w:p>
        </w:tc>
        <w:tc>
          <w:tcPr>
            <w:tcW w:w="439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超过300000元至500000元的部分</w:t>
            </w:r>
          </w:p>
        </w:tc>
        <w:tc>
          <w:tcPr>
            <w:tcW w:w="1035"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30%</w:t>
            </w:r>
          </w:p>
        </w:tc>
        <w:tc>
          <w:tcPr>
            <w:tcW w:w="2077" w:type="dxa"/>
            <w:tcBorders>
              <w:top w:val="nil"/>
              <w:left w:val="nil"/>
              <w:bottom w:val="single" w:sz="4" w:space="0" w:color="auto"/>
              <w:right w:val="single" w:sz="4" w:space="0" w:color="auto"/>
            </w:tcBorders>
            <w:noWrap/>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40500</w:t>
            </w:r>
          </w:p>
        </w:tc>
      </w:tr>
      <w:tr w:rsidR="00EA3E30" w:rsidRPr="00EA3E30" w:rsidTr="00EA3E30">
        <w:trPr>
          <w:trHeight w:val="480"/>
          <w:jc w:val="center"/>
        </w:trPr>
        <w:tc>
          <w:tcPr>
            <w:tcW w:w="823" w:type="dxa"/>
            <w:tcBorders>
              <w:top w:val="nil"/>
              <w:left w:val="single" w:sz="4" w:space="0" w:color="auto"/>
              <w:bottom w:val="single" w:sz="4" w:space="0" w:color="auto"/>
              <w:right w:val="single" w:sz="4" w:space="0" w:color="auto"/>
            </w:tcBorders>
            <w:vAlign w:val="center"/>
            <w:hideMark/>
          </w:tcPr>
          <w:p w:rsidR="00EA3E30" w:rsidRPr="00EA3E30" w:rsidRDefault="00EA3E30">
            <w:pPr>
              <w:widowControl/>
              <w:spacing w:line="360" w:lineRule="auto"/>
              <w:jc w:val="center"/>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5</w:t>
            </w:r>
          </w:p>
        </w:tc>
        <w:tc>
          <w:tcPr>
            <w:tcW w:w="4394"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超过500000元的部分</w:t>
            </w:r>
          </w:p>
        </w:tc>
        <w:tc>
          <w:tcPr>
            <w:tcW w:w="1035" w:type="dxa"/>
            <w:tcBorders>
              <w:top w:val="nil"/>
              <w:left w:val="nil"/>
              <w:bottom w:val="single" w:sz="4" w:space="0" w:color="auto"/>
              <w:right w:val="single" w:sz="4" w:space="0" w:color="auto"/>
            </w:tcBorders>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宋体" w:cs="宋体" w:hint="eastAsia"/>
                <w:kern w:val="0"/>
                <w:sz w:val="28"/>
                <w:szCs w:val="28"/>
              </w:rPr>
              <w:t>35%</w:t>
            </w:r>
          </w:p>
        </w:tc>
        <w:tc>
          <w:tcPr>
            <w:tcW w:w="2077" w:type="dxa"/>
            <w:tcBorders>
              <w:top w:val="nil"/>
              <w:left w:val="nil"/>
              <w:bottom w:val="single" w:sz="4" w:space="0" w:color="auto"/>
              <w:right w:val="single" w:sz="4" w:space="0" w:color="auto"/>
            </w:tcBorders>
            <w:noWrap/>
            <w:vAlign w:val="center"/>
            <w:hideMark/>
          </w:tcPr>
          <w:p w:rsidR="00EA3E30" w:rsidRPr="00EA3E30" w:rsidRDefault="00EA3E30">
            <w:pPr>
              <w:widowControl/>
              <w:spacing w:line="360" w:lineRule="auto"/>
              <w:jc w:val="right"/>
              <w:rPr>
                <w:rFonts w:ascii="仿宋_GB2312" w:eastAsia="仿宋_GB2312" w:hAnsi="宋体" w:cs="宋体"/>
                <w:kern w:val="0"/>
                <w:sz w:val="28"/>
                <w:szCs w:val="28"/>
              </w:rPr>
            </w:pPr>
            <w:r w:rsidRPr="00EA3E30">
              <w:rPr>
                <w:rFonts w:ascii="仿宋_GB2312" w:eastAsia="仿宋_GB2312" w:hAnsi="仿宋" w:cs="宋体" w:hint="eastAsia"/>
                <w:kern w:val="0"/>
                <w:sz w:val="28"/>
                <w:szCs w:val="28"/>
                <w:lang w:bidi="ar"/>
              </w:rPr>
              <w:t>65500</w:t>
            </w:r>
          </w:p>
        </w:tc>
      </w:tr>
    </w:tbl>
    <w:p w:rsidR="00EA3E30" w:rsidRDefault="00EA3E30" w:rsidP="00EA3E30">
      <w:pPr>
        <w:spacing w:line="360" w:lineRule="auto"/>
        <w:ind w:firstLineChars="200" w:firstLine="640"/>
        <w:rPr>
          <w:rFonts w:ascii="仿宋_GB2312" w:eastAsia="仿宋_GB2312" w:hAnsi="Times New Roman" w:cs="Times New Roman" w:hint="eastAsia"/>
          <w:sz w:val="32"/>
          <w:szCs w:val="32"/>
        </w:rPr>
      </w:pPr>
    </w:p>
    <w:p w:rsidR="00EA3E30" w:rsidRDefault="00EA3E30">
      <w:pPr>
        <w:rPr>
          <w:rFonts w:hint="eastAsia"/>
        </w:rPr>
      </w:pPr>
    </w:p>
    <w:p w:rsidR="00EA3E30" w:rsidRDefault="00EA3E30"/>
    <w:sectPr w:rsidR="00EA3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F5EAC"/>
    <w:multiLevelType w:val="multilevel"/>
    <w:tmpl w:val="77D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30"/>
    <w:rsid w:val="00C405F9"/>
    <w:rsid w:val="00EA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E30"/>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E30"/>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60505">
      <w:bodyDiv w:val="1"/>
      <w:marLeft w:val="0"/>
      <w:marRight w:val="0"/>
      <w:marTop w:val="0"/>
      <w:marBottom w:val="0"/>
      <w:divBdr>
        <w:top w:val="none" w:sz="0" w:space="0" w:color="auto"/>
        <w:left w:val="none" w:sz="0" w:space="0" w:color="auto"/>
        <w:bottom w:val="none" w:sz="0" w:space="0" w:color="auto"/>
        <w:right w:val="none" w:sz="0" w:space="0" w:color="auto"/>
      </w:divBdr>
      <w:divsChild>
        <w:div w:id="1802964922">
          <w:marLeft w:val="0"/>
          <w:marRight w:val="0"/>
          <w:marTop w:val="0"/>
          <w:marBottom w:val="0"/>
          <w:divBdr>
            <w:top w:val="none" w:sz="0" w:space="0" w:color="auto"/>
            <w:left w:val="none" w:sz="0" w:space="0" w:color="auto"/>
            <w:bottom w:val="none" w:sz="0" w:space="0" w:color="auto"/>
            <w:right w:val="none" w:sz="0" w:space="0" w:color="auto"/>
          </w:divBdr>
        </w:div>
      </w:divsChild>
    </w:div>
    <w:div w:id="1571649580">
      <w:bodyDiv w:val="1"/>
      <w:marLeft w:val="0"/>
      <w:marRight w:val="0"/>
      <w:marTop w:val="0"/>
      <w:marBottom w:val="0"/>
      <w:divBdr>
        <w:top w:val="none" w:sz="0" w:space="0" w:color="auto"/>
        <w:left w:val="none" w:sz="0" w:space="0" w:color="auto"/>
        <w:bottom w:val="none" w:sz="0" w:space="0" w:color="auto"/>
        <w:right w:val="none" w:sz="0" w:space="0" w:color="auto"/>
      </w:divBdr>
    </w:div>
    <w:div w:id="17906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2018-09-25T04:00:00Z</dcterms:created>
  <dcterms:modified xsi:type="dcterms:W3CDTF">2018-09-25T04:32:00Z</dcterms:modified>
</cp:coreProperties>
</file>