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64"/>
          <w:szCs w:val="6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64"/>
          <w:szCs w:val="64"/>
          <w:lang w:eastAsia="zh-CN"/>
        </w:rPr>
      </w:pP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68"/>
          <w:szCs w:val="68"/>
          <w:lang w:eastAsia="zh-CN"/>
        </w:rPr>
      </w:pPr>
      <w:r>
        <w:rPr>
          <w:rFonts w:hint="eastAsia" w:ascii="黑体" w:hAnsi="黑体" w:eastAsia="黑体" w:cs="黑体"/>
          <w:color w:val="FF0000"/>
          <w:sz w:val="64"/>
          <w:szCs w:val="64"/>
          <w:lang w:eastAsia="zh-CN"/>
        </w:rPr>
        <w:t>大北农科技奖奖励委员会文件</w:t>
      </w:r>
    </w:p>
    <w:p>
      <w:pPr>
        <w:pStyle w:val="4"/>
        <w:spacing w:line="600" w:lineRule="exact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大北农科技奖字〔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08号</w:t>
      </w:r>
    </w:p>
    <w:p>
      <w:pPr>
        <w:pStyle w:val="4"/>
        <w:spacing w:line="600" w:lineRule="exact"/>
        <w:rPr>
          <w:rFonts w:hint="eastAsia"/>
          <w:color w:val="auto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60960</wp:posOffset>
                </wp:positionV>
                <wp:extent cx="5991225" cy="635"/>
                <wp:effectExtent l="0" t="0" r="0" b="0"/>
                <wp:wrapNone/>
                <wp:docPr id="2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margin-left:-24.85pt;margin-top:4.8pt;height:0.05pt;width:471.75pt;z-index:251660288;mso-width-relative:page;mso-height-relative:page;" filled="f" stroked="t" coordsize="21600,21600" o:gfxdata="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pXeszWAAAABwEAAA8AAAAAAAAAAQAgAAAAIgAA&#10;AGRycy9kb3ducmV2LnhtbFBLAQIUABQAAAAIAIdO4kB06zPW0QEAAJADAAAOAAAAAAAAAAEAIAAA&#10;ACUBAABkcnMvZTJvRG9jLnhtbFBLBQYAAAAABgAGAFkBAABo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spacing w:line="600" w:lineRule="exact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大北农科技奖奖励委员会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关于开展第十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届</w:t>
      </w:r>
    </w:p>
    <w:p>
      <w:pPr>
        <w:pStyle w:val="4"/>
        <w:spacing w:line="600" w:lineRule="exact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大北农科技奖推荐工作的通知</w:t>
      </w:r>
    </w:p>
    <w:p>
      <w:pPr>
        <w:pStyle w:val="4"/>
        <w:spacing w:line="600" w:lineRule="exact"/>
        <w:rPr>
          <w:rFonts w:hint="eastAsia" w:ascii="仿宋" w:hAnsi="仿宋" w:eastAsia="仿宋" w:cs="仿宋"/>
          <w:color w:val="auto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17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各有关单位、专家：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17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大北农科技奖是经科技部批准设立的面向全球农业行业的科学技术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主要无偿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奖励在农业应用研究领域作出突出贡献的科技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北京大北农科技集团股份有限公司于1999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年出资设立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并具备国家科学技术奖提名资格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。为了进一步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鼓励通过科技创新促进农业科技进步，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促进科技成果向现实生产力转化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促进农业科技人才成长与发展，引导科技资源在农业经济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社会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发展中发挥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更大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根据《大北农科技奖奖励办法》有关要求，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为做好第十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届大北农科技奖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工作，现将有关事项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0" w:leftChars="0" w:firstLine="627" w:firstLineChars="200"/>
        <w:textAlignment w:val="auto"/>
        <w:rPr>
          <w:rFonts w:hint="eastAsia" w:ascii="黑体" w:hAnsi="黑体" w:eastAsia="黑体" w:cs="黑体"/>
          <w:b/>
          <w:color w:val="auto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pacing w:val="-4"/>
          <w:kern w:val="0"/>
          <w:sz w:val="32"/>
          <w:szCs w:val="32"/>
          <w:lang w:val="en-US" w:eastAsia="zh-CN"/>
        </w:rPr>
        <w:t>奖励要求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1.奖励定位：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奖励在农业应用研究领域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推动农业科技进步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促进农业科技创新且具有重大转化价值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原创性科技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2.奖励范围：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主要奖励国内外农业行业中植物生产类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植物育种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植物营养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植物保护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、植物基因工程）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，动物生产类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（包括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动物育种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动物营养与饲料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动物疫病防控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、动物基因工程、水产）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，农业工程和环境类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包括农业工程与生态环境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、农业信息化）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农业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重点领域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的科技成果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3.推荐成果要求：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（1）应是自主创新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成果，侧重奖励单项关键核心技术的原始创新突破。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（2）成果应具有潜在的、较大的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产业化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价值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现阶段还未产业化、市场化应用。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未获得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国家科学技术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省（部）级科学技术奖励和大北农科技奖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540" w:lineRule="exact"/>
        <w:ind w:left="0" w:leftChars="0" w:firstLine="643" w:firstLineChars="200"/>
        <w:jc w:val="left"/>
        <w:textAlignment w:val="auto"/>
        <w:outlineLvl w:val="0"/>
        <w:rPr>
          <w:rFonts w:hint="eastAsia" w:ascii="黑体" w:hAnsi="黑体" w:eastAsia="黑体" w:cs="黑体"/>
          <w:b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二、奖项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设置、数量及奖金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大北农科技奖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面向中国境内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每届设不超过10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个奖项类别：植物育种奖、植物营养奖、植物保护奖、动物育种奖、动物营养奖、动物医学奖、水产科学奖、基因工程奖、环境工程奖、智慧农业奖。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大北农科技奖面向全球每届设1 个国际奖，主要是奖励在全球范围内农业领域作出突出贡献的外籍科学家，与中国境内奖项同等要求。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大北农科技奖每个奖项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奖金为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20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人民币，每个奖项至多2 项成果共享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每个奖项类别只设一个奖励等级，为一等奖。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、推荐程序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bookmarkStart w:id="0" w:name="_Toc26801201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大北农科技奖实行专家推荐、单位推荐和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自我推荐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三种方式：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专家推荐：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大北农科技奖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奖励委员会核准的国内外农业领域的著名专家、学术权威、主管领导和学科带头人为推荐专家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，推荐专家包括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大北农科技奖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奖励委员会成员、中国科学院院士、中国工程院院士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、历届大北农科技奖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高等级奖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获奖者、国内外知名权威专家学者等。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每位专家可推荐1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本人所熟悉专业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领域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。推荐专家不能推荐本人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，也不能是推荐成果的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。由奖励委员会向专家发出推荐邀请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和推荐系统登录信息，推荐专家可凭用户名和密码登录推荐系统，按照奖励要求在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上进行推荐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单位推荐：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大北农科技奖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奖励委员会核准的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学会、省级或省级以上农业高等院校、农业科学院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涉农综合性大学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可推荐，推荐不限额。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由奖励委员会向各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单位发出推荐邀请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和推荐系统登录信息，推荐单位可凭用户名和密码登录推荐系统，按照奖励要求在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上进行推荐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如未收到推荐邀请的单位，可于推荐结束前由本单位科技管理部门</w:t>
      </w:r>
      <w:r>
        <w:rPr>
          <w:rFonts w:hint="eastAsia" w:ascii="仿宋" w:hAnsi="仿宋" w:eastAsia="仿宋" w:cs="仿宋"/>
          <w:sz w:val="32"/>
          <w:szCs w:val="32"/>
        </w:rPr>
        <w:t>电邮向我办提出申请，经审核符合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sz w:val="32"/>
          <w:szCs w:val="32"/>
        </w:rPr>
        <w:t>要求的，由我办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分配推荐账户。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自我推荐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凡符合奖励范围的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全球农业领域科技工作者均可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自我推荐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自我推荐需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按照奖励要求在线注册、填写和提交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完成人应当征得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其它完成人和完成单位的同意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自我推荐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推荐大北农科技奖成果需要登录大北农科技奖综合信息管理平台（http://www.dbnkjj.com）予以推荐，平台自2020年10月27日起正式开通运行，网络推荐截止时间为2021年6月30日。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、推荐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材料报送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是大北农科技奖评审的主要依据，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请按照要求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网上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填写相应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内容并提交相应证明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推荐书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应当完整、真实、可靠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纸质材料内容要求和系统填报内容完全一致，主件和附件一并装订，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A4 规格纸，</w:t>
      </w:r>
      <w:r>
        <w:rPr>
          <w:rFonts w:hint="eastAsia" w:ascii="仿宋" w:hAnsi="仿宋" w:eastAsia="仿宋" w:cs="仿宋"/>
          <w:sz w:val="32"/>
          <w:szCs w:val="32"/>
        </w:rPr>
        <w:t>单双面不限，竖向左侧装订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原件和复印件各1 份，按照相关要求签字、盖章后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于截止时间（20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日）前寄送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大北农科技奖办公室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40" w:lineRule="exact"/>
        <w:ind w:left="0" w:leftChars="0" w:right="0" w:rightChars="0"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人：张子平、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黄艳虹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、王丹玉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联系电话：010-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82856450-8989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通讯地址：</w:t>
      </w:r>
      <w:r>
        <w:rPr>
          <w:rFonts w:hint="eastAsia" w:ascii="仿宋" w:hAnsi="仿宋" w:eastAsia="仿宋" w:cs="仿宋"/>
          <w:color w:val="auto"/>
          <w:spacing w:val="-8"/>
          <w:kern w:val="0"/>
          <w:sz w:val="32"/>
          <w:szCs w:val="32"/>
        </w:rPr>
        <w:t>北京市海淀区</w:t>
      </w:r>
      <w:r>
        <w:rPr>
          <w:rFonts w:hint="eastAsia" w:ascii="仿宋" w:hAnsi="仿宋" w:eastAsia="仿宋" w:cs="仿宋"/>
          <w:color w:val="auto"/>
          <w:spacing w:val="-8"/>
          <w:kern w:val="0"/>
          <w:sz w:val="32"/>
          <w:szCs w:val="32"/>
          <w:lang w:val="en-US" w:eastAsia="zh-CN"/>
        </w:rPr>
        <w:t>中关村大街27号中关村大厦18层大北农</w:t>
      </w:r>
      <w:r>
        <w:rPr>
          <w:rFonts w:hint="eastAsia" w:ascii="仿宋" w:hAnsi="仿宋" w:eastAsia="仿宋" w:cs="仿宋"/>
          <w:color w:val="auto"/>
          <w:spacing w:val="-8"/>
          <w:kern w:val="0"/>
          <w:sz w:val="32"/>
          <w:szCs w:val="32"/>
        </w:rPr>
        <w:t>奖励</w:t>
      </w:r>
      <w:r>
        <w:rPr>
          <w:rFonts w:hint="eastAsia" w:ascii="仿宋" w:hAnsi="仿宋" w:eastAsia="仿宋" w:cs="仿宋"/>
          <w:color w:val="auto"/>
          <w:spacing w:val="-8"/>
          <w:kern w:val="0"/>
          <w:sz w:val="32"/>
          <w:szCs w:val="32"/>
          <w:lang w:val="en-US" w:eastAsia="zh-CN"/>
        </w:rPr>
        <w:t>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编：100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080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Q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Q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群：115161030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箱：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dbnsta@dbn.com.cn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申报网站：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http://www.dbnkjj.com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官方网站：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http://gabif.dbn.cn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大北农科技奖办公室</w:t>
      </w:r>
    </w:p>
    <w:p>
      <w:pPr>
        <w:keepNext w:val="0"/>
        <w:keepLines w:val="0"/>
        <w:pageBreakBefore w:val="0"/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C0A80"/>
    <w:multiLevelType w:val="singleLevel"/>
    <w:tmpl w:val="547C0A8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3990"/>
    <w:rsid w:val="01761943"/>
    <w:rsid w:val="04AD54EB"/>
    <w:rsid w:val="0696274A"/>
    <w:rsid w:val="06F51B6C"/>
    <w:rsid w:val="08A601FF"/>
    <w:rsid w:val="08E417AC"/>
    <w:rsid w:val="097F5FA9"/>
    <w:rsid w:val="0ACD7649"/>
    <w:rsid w:val="0C777B97"/>
    <w:rsid w:val="11A069BE"/>
    <w:rsid w:val="11FD5A0B"/>
    <w:rsid w:val="12E36B28"/>
    <w:rsid w:val="136A2413"/>
    <w:rsid w:val="14B93E9F"/>
    <w:rsid w:val="15B837E6"/>
    <w:rsid w:val="15E37AEB"/>
    <w:rsid w:val="16000DDB"/>
    <w:rsid w:val="16522583"/>
    <w:rsid w:val="16F70806"/>
    <w:rsid w:val="16F83EF8"/>
    <w:rsid w:val="17674207"/>
    <w:rsid w:val="18D44221"/>
    <w:rsid w:val="1A520538"/>
    <w:rsid w:val="1AB37BA6"/>
    <w:rsid w:val="1C6E012F"/>
    <w:rsid w:val="1F9A16A1"/>
    <w:rsid w:val="20240D98"/>
    <w:rsid w:val="2025033B"/>
    <w:rsid w:val="206769CA"/>
    <w:rsid w:val="214F1858"/>
    <w:rsid w:val="21DB1107"/>
    <w:rsid w:val="23105579"/>
    <w:rsid w:val="23302B48"/>
    <w:rsid w:val="24813736"/>
    <w:rsid w:val="24B26774"/>
    <w:rsid w:val="26DF09E5"/>
    <w:rsid w:val="282744C2"/>
    <w:rsid w:val="299A068F"/>
    <w:rsid w:val="2ADE62C3"/>
    <w:rsid w:val="2B0D2A59"/>
    <w:rsid w:val="2BD5618D"/>
    <w:rsid w:val="2D147C74"/>
    <w:rsid w:val="2D4A759B"/>
    <w:rsid w:val="2F166EA7"/>
    <w:rsid w:val="30922BF6"/>
    <w:rsid w:val="30E36EDC"/>
    <w:rsid w:val="32DF2A3F"/>
    <w:rsid w:val="33AF0F1D"/>
    <w:rsid w:val="34171816"/>
    <w:rsid w:val="347525C3"/>
    <w:rsid w:val="34BD07C0"/>
    <w:rsid w:val="35BF49FB"/>
    <w:rsid w:val="37E469FE"/>
    <w:rsid w:val="3A2A1330"/>
    <w:rsid w:val="3A3B13E5"/>
    <w:rsid w:val="3A934031"/>
    <w:rsid w:val="3B880BEF"/>
    <w:rsid w:val="3E292253"/>
    <w:rsid w:val="3FD07F7E"/>
    <w:rsid w:val="402B128D"/>
    <w:rsid w:val="40B965B1"/>
    <w:rsid w:val="40BC4EAD"/>
    <w:rsid w:val="422A0AF2"/>
    <w:rsid w:val="42A0624E"/>
    <w:rsid w:val="431C021A"/>
    <w:rsid w:val="434E70CD"/>
    <w:rsid w:val="439C2EAF"/>
    <w:rsid w:val="4603152A"/>
    <w:rsid w:val="46824E57"/>
    <w:rsid w:val="47037BA9"/>
    <w:rsid w:val="480E0D97"/>
    <w:rsid w:val="487010A8"/>
    <w:rsid w:val="48796DBA"/>
    <w:rsid w:val="4A2F201B"/>
    <w:rsid w:val="4B74773D"/>
    <w:rsid w:val="4D99440A"/>
    <w:rsid w:val="4DEF2B78"/>
    <w:rsid w:val="4EBE5337"/>
    <w:rsid w:val="51FF11B3"/>
    <w:rsid w:val="55451B38"/>
    <w:rsid w:val="577D7420"/>
    <w:rsid w:val="585C4E62"/>
    <w:rsid w:val="59364A27"/>
    <w:rsid w:val="5AF169F3"/>
    <w:rsid w:val="5B0144F1"/>
    <w:rsid w:val="5E3D6F8F"/>
    <w:rsid w:val="5E474D60"/>
    <w:rsid w:val="5F787E13"/>
    <w:rsid w:val="60036E61"/>
    <w:rsid w:val="61610571"/>
    <w:rsid w:val="61D11235"/>
    <w:rsid w:val="61F77E5B"/>
    <w:rsid w:val="636755F9"/>
    <w:rsid w:val="6448649C"/>
    <w:rsid w:val="64906FD2"/>
    <w:rsid w:val="65D563C2"/>
    <w:rsid w:val="65EF27D3"/>
    <w:rsid w:val="66461708"/>
    <w:rsid w:val="67C66291"/>
    <w:rsid w:val="6C0D5B02"/>
    <w:rsid w:val="6DE8650D"/>
    <w:rsid w:val="6E8C32D2"/>
    <w:rsid w:val="6EEB42D0"/>
    <w:rsid w:val="70CD700C"/>
    <w:rsid w:val="70E731F6"/>
    <w:rsid w:val="71EA67DE"/>
    <w:rsid w:val="72735071"/>
    <w:rsid w:val="737A14F8"/>
    <w:rsid w:val="756B19A1"/>
    <w:rsid w:val="75B12EBB"/>
    <w:rsid w:val="76E05937"/>
    <w:rsid w:val="78516E34"/>
    <w:rsid w:val="78A43D71"/>
    <w:rsid w:val="7A073451"/>
    <w:rsid w:val="7C26156F"/>
    <w:rsid w:val="7CE47E53"/>
    <w:rsid w:val="7DB478C7"/>
    <w:rsid w:val="7E0C09F1"/>
    <w:rsid w:val="7EEE532A"/>
    <w:rsid w:val="7FCB1F6F"/>
    <w:rsid w:val="7FFB2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9288"/>
      </w:tabs>
      <w:spacing w:line="1000" w:lineRule="exact"/>
      <w:jc w:val="center"/>
    </w:pPr>
    <w:rPr>
      <w:rFonts w:ascii="黑体" w:hAnsi="宋体" w:eastAsia="黑体"/>
      <w:b/>
      <w:kern w:val="0"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1774</Words>
  <Characters>1895</Characters>
  <Lines>0</Lines>
  <Paragraphs>0</Paragraphs>
  <TotalTime>66</TotalTime>
  <ScaleCrop>false</ScaleCrop>
  <LinksUpToDate>false</LinksUpToDate>
  <CharactersWithSpaces>1932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2020-10-21T00:37:00Z</cp:lastPrinted>
  <dcterms:modified xsi:type="dcterms:W3CDTF">2020-11-13T00:38:07Z</dcterms:modified>
  <dc:title>大北农科技奖奖励委员会文件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